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2982DAC9" w:rsidR="009F7B98" w:rsidRPr="00471146" w:rsidRDefault="00471146" w:rsidP="004847A2">
            <w:pPr>
              <w:spacing w:before="240"/>
              <w:rPr>
                <w:szCs w:val="18"/>
              </w:rPr>
            </w:pPr>
            <w:r w:rsidRPr="00471146">
              <w:rPr>
                <w:rFonts w:cs="Arial"/>
                <w:color w:val="000000"/>
                <w:szCs w:val="18"/>
              </w:rPr>
              <w:t>B06. Clever Use of Research/Data</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7AD13125" w14:textId="77777777" w:rsidR="00471146" w:rsidRDefault="00471146" w:rsidP="00471146">
            <w:pPr>
              <w:pStyle w:val="NormalWeb"/>
              <w:spacing w:before="0" w:beforeAutospacing="0" w:after="0" w:afterAutospacing="0"/>
              <w:ind w:right="320"/>
              <w:rPr>
                <w:rFonts w:ascii="Aptos" w:hAnsi="Aptos" w:cs="Arial"/>
                <w:color w:val="000000"/>
                <w:sz w:val="18"/>
                <w:szCs w:val="18"/>
              </w:rPr>
            </w:pPr>
          </w:p>
          <w:p w14:paraId="5CEDDE34" w14:textId="5867CCE7" w:rsidR="00471146" w:rsidRDefault="00471146" w:rsidP="00471146">
            <w:pPr>
              <w:pStyle w:val="NormalWeb"/>
              <w:spacing w:before="0" w:beforeAutospacing="0" w:after="0" w:afterAutospacing="0"/>
              <w:ind w:right="320"/>
              <w:rPr>
                <w:rFonts w:ascii="Aptos" w:hAnsi="Aptos" w:cs="Arial"/>
                <w:color w:val="000000"/>
                <w:sz w:val="18"/>
                <w:szCs w:val="18"/>
              </w:rPr>
            </w:pPr>
            <w:r w:rsidRPr="00471146">
              <w:rPr>
                <w:rFonts w:ascii="Aptos" w:hAnsi="Aptos" w:cs="Arial"/>
                <w:color w:val="000000"/>
                <w:sz w:val="18"/>
                <w:szCs w:val="18"/>
              </w:rPr>
              <w:t>Campaigns that used data, analytics, or other research to inform the strategic solution and shape its execution to market. This is more than using off-the-shelf research platforms to generate audience insights. It recognises the critical role that great research and data can provide at all stages of the development process.</w:t>
            </w:r>
          </w:p>
          <w:p w14:paraId="728FE62F" w14:textId="77777777" w:rsidR="00471146" w:rsidRPr="00471146" w:rsidRDefault="00471146" w:rsidP="00471146">
            <w:pPr>
              <w:pStyle w:val="NormalWeb"/>
              <w:spacing w:before="0" w:beforeAutospacing="0" w:after="0" w:afterAutospacing="0"/>
              <w:ind w:right="320"/>
              <w:rPr>
                <w:rFonts w:ascii="Aptos" w:hAnsi="Aptos"/>
                <w:sz w:val="18"/>
                <w:szCs w:val="18"/>
              </w:rPr>
            </w:pPr>
          </w:p>
          <w:p w14:paraId="2C724F14" w14:textId="77777777" w:rsidR="00471146" w:rsidRPr="00471146" w:rsidRDefault="00471146" w:rsidP="00471146">
            <w:pPr>
              <w:pStyle w:val="NormalWeb"/>
              <w:spacing w:before="0" w:beforeAutospacing="0" w:after="0" w:afterAutospacing="0"/>
              <w:rPr>
                <w:rFonts w:ascii="Aptos" w:hAnsi="Aptos"/>
                <w:sz w:val="18"/>
                <w:szCs w:val="18"/>
              </w:rPr>
            </w:pPr>
            <w:r w:rsidRPr="00471146">
              <w:rPr>
                <w:rFonts w:ascii="Aptos" w:hAnsi="Aptos" w:cs="Arial"/>
                <w:color w:val="000000"/>
                <w:sz w:val="18"/>
                <w:szCs w:val="18"/>
              </w:rPr>
              <w:t>We are looking here for examples of new research or data applications that unlocked previously hidden value; harnessing data to enable new ways to communicate; development of bespoke data platforms to change what was possible in reaching the right audiences; or textbook examples of unlocking audience understanding through smart research.</w:t>
            </w:r>
          </w:p>
          <w:p w14:paraId="7ECBE637" w14:textId="63FBD5C3"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03D76A2F" w14:textId="77777777" w:rsidR="00471146" w:rsidRDefault="00471146">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6DB996B4"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8723" w14:textId="77777777" w:rsidR="006E52B0" w:rsidRDefault="006E52B0" w:rsidP="00054E6C">
      <w:pPr>
        <w:spacing w:after="0" w:line="240" w:lineRule="auto"/>
      </w:pPr>
      <w:r>
        <w:separator/>
      </w:r>
    </w:p>
  </w:endnote>
  <w:endnote w:type="continuationSeparator" w:id="0">
    <w:p w14:paraId="5E35BDB5" w14:textId="77777777" w:rsidR="006E52B0" w:rsidRDefault="006E52B0"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3A52" w14:textId="77777777" w:rsidR="006E52B0" w:rsidRDefault="006E52B0" w:rsidP="00054E6C">
      <w:pPr>
        <w:spacing w:after="0" w:line="240" w:lineRule="auto"/>
      </w:pPr>
      <w:r>
        <w:separator/>
      </w:r>
    </w:p>
  </w:footnote>
  <w:footnote w:type="continuationSeparator" w:id="0">
    <w:p w14:paraId="0E7146C4" w14:textId="77777777" w:rsidR="006E52B0" w:rsidRDefault="006E52B0"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487E0592" w:rsidR="00054E6C" w:rsidRPr="00471146" w:rsidRDefault="00471146" w:rsidP="002E139B">
          <w:pPr>
            <w:pStyle w:val="Header"/>
            <w:jc w:val="right"/>
            <w:rPr>
              <w:rFonts w:cs="Times New Roman"/>
              <w:color w:val="FF5443"/>
              <w:sz w:val="18"/>
              <w:szCs w:val="18"/>
            </w:rPr>
          </w:pPr>
          <w:r w:rsidRPr="00471146">
            <w:rPr>
              <w:rFonts w:cs="Arial"/>
              <w:color w:val="000000"/>
              <w:sz w:val="18"/>
              <w:szCs w:val="18"/>
            </w:rPr>
            <w:t>B06. CLEVER USE OF RESEARCH/DATA</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1146"/>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6E52B0"/>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8D024D"/>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unhideWhenUsed/>
    <w:rsid w:val="004711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1157</Words>
  <Characters>6206</Characters>
  <Application>Microsoft Office Word</Application>
  <DocSecurity>0</DocSecurity>
  <Lines>188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2026-04-07T01:53:00Z</dcterms:created>
  <dcterms:modified xsi:type="dcterms:W3CDTF">2026-04-07T01:53:00Z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